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373E" w14:textId="10A920F5" w:rsidR="00B91765" w:rsidRPr="00B91765" w:rsidRDefault="00B91765" w:rsidP="00B91765">
      <w:pPr>
        <w:spacing w:after="0" w:line="500" w:lineRule="exact"/>
        <w:contextualSpacing/>
        <w:jc w:val="both"/>
        <w:rPr>
          <w:sz w:val="28"/>
          <w:szCs w:val="24"/>
        </w:rPr>
      </w:pPr>
      <w:r w:rsidRPr="00B91765">
        <w:rPr>
          <w:rFonts w:ascii="Times New Roman" w:eastAsia="標楷體" w:hAnsi="Times New Roman" w:hint="eastAsia"/>
          <w:color w:val="000000" w:themeColor="text1"/>
          <w:sz w:val="36"/>
          <w:szCs w:val="32"/>
        </w:rPr>
        <w:t>中華民國證券商業同業公會「承銷商會員輔導發行公司募集與發行有價證券自律規則」第五條之二修正條文對照表</w:t>
      </w:r>
    </w:p>
    <w:tbl>
      <w:tblPr>
        <w:tblStyle w:val="a3"/>
        <w:tblW w:w="10060" w:type="dxa"/>
        <w:tblLook w:val="04A0" w:firstRow="1" w:lastRow="0" w:firstColumn="1" w:lastColumn="0" w:noHBand="0" w:noVBand="1"/>
      </w:tblPr>
      <w:tblGrid>
        <w:gridCol w:w="3353"/>
        <w:gridCol w:w="3353"/>
        <w:gridCol w:w="3354"/>
      </w:tblGrid>
      <w:tr w:rsidR="00B91765" w:rsidRPr="00B70933" w14:paraId="64C8AC07" w14:textId="77777777" w:rsidTr="00B72972">
        <w:tc>
          <w:tcPr>
            <w:tcW w:w="3353" w:type="dxa"/>
          </w:tcPr>
          <w:p w14:paraId="0F82F45B" w14:textId="77777777" w:rsidR="00B91765" w:rsidRPr="00B70933" w:rsidRDefault="00B91765" w:rsidP="00B91765">
            <w:pPr>
              <w:spacing w:after="0" w:line="480" w:lineRule="exact"/>
              <w:jc w:val="center"/>
              <w:rPr>
                <w:rFonts w:ascii="Times New Roman" w:eastAsia="標楷體" w:hAnsi="Times New Roman"/>
                <w:b/>
                <w:bCs/>
                <w:color w:val="000000" w:themeColor="text1"/>
                <w:sz w:val="28"/>
                <w:szCs w:val="24"/>
              </w:rPr>
            </w:pPr>
            <w:r w:rsidRPr="00B70933">
              <w:rPr>
                <w:rFonts w:ascii="Times New Roman" w:eastAsia="標楷體" w:hAnsi="Times New Roman" w:hint="eastAsia"/>
                <w:b/>
                <w:bCs/>
                <w:color w:val="000000" w:themeColor="text1"/>
                <w:sz w:val="28"/>
                <w:szCs w:val="24"/>
              </w:rPr>
              <w:t>修正條文</w:t>
            </w:r>
          </w:p>
        </w:tc>
        <w:tc>
          <w:tcPr>
            <w:tcW w:w="3353" w:type="dxa"/>
          </w:tcPr>
          <w:p w14:paraId="2DE50EB1" w14:textId="77777777" w:rsidR="00B91765" w:rsidRPr="00B70933" w:rsidRDefault="00B91765" w:rsidP="00B91765">
            <w:pPr>
              <w:spacing w:after="0" w:line="480" w:lineRule="exact"/>
              <w:jc w:val="center"/>
              <w:rPr>
                <w:rFonts w:ascii="Times New Roman" w:eastAsia="標楷體" w:hAnsi="Times New Roman"/>
                <w:b/>
                <w:bCs/>
                <w:color w:val="000000" w:themeColor="text1"/>
                <w:sz w:val="28"/>
                <w:szCs w:val="24"/>
              </w:rPr>
            </w:pPr>
            <w:r w:rsidRPr="00B70933">
              <w:rPr>
                <w:rFonts w:ascii="Times New Roman" w:eastAsia="標楷體" w:hAnsi="Times New Roman" w:hint="eastAsia"/>
                <w:b/>
                <w:bCs/>
                <w:color w:val="000000" w:themeColor="text1"/>
                <w:sz w:val="28"/>
                <w:szCs w:val="24"/>
              </w:rPr>
              <w:t>現行條文</w:t>
            </w:r>
          </w:p>
        </w:tc>
        <w:tc>
          <w:tcPr>
            <w:tcW w:w="3354" w:type="dxa"/>
          </w:tcPr>
          <w:p w14:paraId="477168A7" w14:textId="77777777" w:rsidR="00B91765" w:rsidRPr="00B70933" w:rsidRDefault="00B91765" w:rsidP="00B91765">
            <w:pPr>
              <w:spacing w:after="0" w:line="480" w:lineRule="exact"/>
              <w:jc w:val="center"/>
              <w:rPr>
                <w:rFonts w:ascii="Times New Roman" w:eastAsia="標楷體" w:hAnsi="Times New Roman"/>
                <w:b/>
                <w:bCs/>
                <w:color w:val="000000" w:themeColor="text1"/>
                <w:sz w:val="28"/>
                <w:szCs w:val="24"/>
              </w:rPr>
            </w:pPr>
            <w:r w:rsidRPr="00B70933">
              <w:rPr>
                <w:rFonts w:ascii="Times New Roman" w:eastAsia="標楷體" w:hAnsi="Times New Roman" w:hint="eastAsia"/>
                <w:b/>
                <w:bCs/>
                <w:color w:val="000000" w:themeColor="text1"/>
                <w:sz w:val="28"/>
                <w:szCs w:val="24"/>
              </w:rPr>
              <w:t>說明</w:t>
            </w:r>
          </w:p>
        </w:tc>
      </w:tr>
      <w:tr w:rsidR="00B91765" w:rsidRPr="007F4514" w14:paraId="598D9CBC" w14:textId="77777777" w:rsidTr="00B72972">
        <w:tc>
          <w:tcPr>
            <w:tcW w:w="3353" w:type="dxa"/>
          </w:tcPr>
          <w:p w14:paraId="1DB445CF" w14:textId="238CC1BF" w:rsidR="00B91765" w:rsidRDefault="00B91765" w:rsidP="00B91765">
            <w:pPr>
              <w:spacing w:after="0" w:line="480" w:lineRule="exact"/>
              <w:rPr>
                <w:rFonts w:ascii="Times New Roman" w:eastAsia="標楷體" w:hAnsi="Times New Roman"/>
                <w:color w:val="000000" w:themeColor="text1"/>
                <w:sz w:val="28"/>
                <w:szCs w:val="24"/>
              </w:rPr>
            </w:pPr>
            <w:r w:rsidRPr="007F4514">
              <w:rPr>
                <w:rFonts w:ascii="Times New Roman" w:eastAsia="標楷體" w:hAnsi="Times New Roman" w:hint="eastAsia"/>
                <w:color w:val="000000" w:themeColor="text1"/>
                <w:sz w:val="28"/>
                <w:szCs w:val="24"/>
              </w:rPr>
              <w:t>第五條之二</w:t>
            </w:r>
            <w:r>
              <w:rPr>
                <w:rFonts w:ascii="Times New Roman" w:eastAsia="標楷體" w:hAnsi="Times New Roman"/>
                <w:color w:val="000000" w:themeColor="text1"/>
                <w:sz w:val="28"/>
                <w:szCs w:val="24"/>
              </w:rPr>
              <w:t xml:space="preserve">    </w:t>
            </w:r>
            <w:r w:rsidRPr="007F4514">
              <w:rPr>
                <w:rFonts w:ascii="Times New Roman" w:eastAsia="標楷體" w:hAnsi="Times New Roman" w:hint="eastAsia"/>
                <w:color w:val="000000" w:themeColor="text1"/>
                <w:sz w:val="28"/>
                <w:szCs w:val="24"/>
              </w:rPr>
              <w:t>承銷商輔導發行公司或外國發行人以現金增資發行普通股申請初次上市</w:t>
            </w:r>
            <w:r w:rsidRPr="007F4514">
              <w:rPr>
                <w:rFonts w:ascii="Times New Roman" w:eastAsia="標楷體" w:hAnsi="Times New Roman" w:hint="eastAsia"/>
                <w:color w:val="000000" w:themeColor="text1"/>
                <w:sz w:val="28"/>
                <w:szCs w:val="24"/>
              </w:rPr>
              <w:t>(</w:t>
            </w:r>
            <w:r w:rsidRPr="007F4514">
              <w:rPr>
                <w:rFonts w:ascii="Times New Roman" w:eastAsia="標楷體" w:hAnsi="Times New Roman" w:hint="eastAsia"/>
                <w:color w:val="000000" w:themeColor="text1"/>
                <w:sz w:val="28"/>
                <w:szCs w:val="24"/>
              </w:rPr>
              <w:t>櫃</w:t>
            </w:r>
            <w:r w:rsidRPr="007F4514">
              <w:rPr>
                <w:rFonts w:ascii="Times New Roman" w:eastAsia="標楷體" w:hAnsi="Times New Roman" w:hint="eastAsia"/>
                <w:color w:val="000000" w:themeColor="text1"/>
                <w:sz w:val="28"/>
                <w:szCs w:val="24"/>
              </w:rPr>
              <w:t>)</w:t>
            </w:r>
            <w:r w:rsidRPr="007F4514">
              <w:rPr>
                <w:rFonts w:ascii="Times New Roman" w:eastAsia="標楷體" w:hAnsi="Times New Roman" w:hint="eastAsia"/>
                <w:color w:val="000000" w:themeColor="text1"/>
                <w:sz w:val="28"/>
                <w:szCs w:val="24"/>
              </w:rPr>
              <w:t>案件、股票申請創新板初次上市案件，除另有規定外，向金管會或其委託之機構申報案件時應以合理之方式訂定暫定價格，如</w:t>
            </w:r>
            <w:r w:rsidRPr="000517AF">
              <w:rPr>
                <w:rFonts w:ascii="Times New Roman" w:eastAsia="標楷體" w:hAnsi="Times New Roman"/>
                <w:color w:val="000000" w:themeColor="text1"/>
                <w:sz w:val="28"/>
                <w:szCs w:val="24"/>
                <w:u w:val="single"/>
              </w:rPr>
              <w:t>採詢價圈購方式辦理</w:t>
            </w:r>
            <w:r w:rsidRPr="000517AF">
              <w:rPr>
                <w:rFonts w:ascii="Times New Roman" w:eastAsia="標楷體" w:hAnsi="Times New Roman" w:hint="eastAsia"/>
                <w:color w:val="000000" w:themeColor="text1"/>
                <w:sz w:val="28"/>
                <w:szCs w:val="24"/>
                <w:u w:val="single"/>
              </w:rPr>
              <w:t>且</w:t>
            </w:r>
            <w:r w:rsidRPr="007F4514">
              <w:rPr>
                <w:rFonts w:ascii="Times New Roman" w:eastAsia="標楷體" w:hAnsi="Times New Roman" w:hint="eastAsia"/>
                <w:color w:val="000000" w:themeColor="text1"/>
                <w:sz w:val="28"/>
                <w:szCs w:val="24"/>
              </w:rPr>
              <w:t>有興櫃交易者，暫定價格不得低於向金管會或其委託之機構申報案件前興櫃有成交之十個營業日其成交均價簡單算術平均數之七成；如經股東會決議原股東全數放棄優先認股者，得採股數區間方式辦理申報，並敘明實際發行價格或股數如有變動，導致募集資金不足時之處理或募集資金增加時之資金用途及預計效益，承銷商並應就其適法性及合理性評估。</w:t>
            </w:r>
          </w:p>
          <w:p w14:paraId="27E6CFAC" w14:textId="77777777" w:rsidR="00B91765" w:rsidRPr="007F4514" w:rsidRDefault="00B91765" w:rsidP="00B91765">
            <w:pPr>
              <w:spacing w:after="0" w:line="480" w:lineRule="exact"/>
              <w:rPr>
                <w:rFonts w:ascii="Times New Roman" w:eastAsia="標楷體" w:hAnsi="Times New Roman"/>
                <w:color w:val="000000" w:themeColor="text1"/>
                <w:sz w:val="28"/>
                <w:szCs w:val="24"/>
              </w:rPr>
            </w:pPr>
            <w:r>
              <w:rPr>
                <w:rFonts w:ascii="Times New Roman" w:eastAsia="標楷體" w:hAnsi="Times New Roman" w:hint="eastAsia"/>
                <w:color w:val="000000" w:themeColor="text1"/>
                <w:sz w:val="28"/>
                <w:szCs w:val="24"/>
              </w:rPr>
              <w:t>以下略。</w:t>
            </w:r>
          </w:p>
        </w:tc>
        <w:tc>
          <w:tcPr>
            <w:tcW w:w="3353" w:type="dxa"/>
          </w:tcPr>
          <w:p w14:paraId="5CB9C4AC" w14:textId="77777777" w:rsidR="00B91765" w:rsidRPr="007F4514" w:rsidRDefault="00B91765" w:rsidP="00B91765">
            <w:pPr>
              <w:spacing w:after="0" w:line="480" w:lineRule="exact"/>
              <w:rPr>
                <w:rFonts w:ascii="Times New Roman" w:eastAsia="標楷體" w:hAnsi="Times New Roman"/>
                <w:color w:val="000000" w:themeColor="text1"/>
                <w:sz w:val="28"/>
                <w:szCs w:val="24"/>
              </w:rPr>
            </w:pPr>
            <w:r w:rsidRPr="007F4514">
              <w:rPr>
                <w:rFonts w:ascii="Times New Roman" w:eastAsia="標楷體" w:hAnsi="Times New Roman" w:hint="eastAsia"/>
                <w:color w:val="000000" w:themeColor="text1"/>
                <w:sz w:val="28"/>
                <w:szCs w:val="24"/>
              </w:rPr>
              <w:t>第五條之二</w:t>
            </w:r>
            <w:r>
              <w:rPr>
                <w:rFonts w:ascii="Times New Roman" w:eastAsia="標楷體" w:hAnsi="Times New Roman"/>
                <w:color w:val="000000" w:themeColor="text1"/>
                <w:sz w:val="28"/>
                <w:szCs w:val="24"/>
              </w:rPr>
              <w:t xml:space="preserve">    </w:t>
            </w:r>
            <w:r w:rsidRPr="007F4514">
              <w:rPr>
                <w:rFonts w:ascii="Times New Roman" w:eastAsia="標楷體" w:hAnsi="Times New Roman" w:hint="eastAsia"/>
                <w:color w:val="000000" w:themeColor="text1"/>
                <w:sz w:val="28"/>
                <w:szCs w:val="24"/>
              </w:rPr>
              <w:t>承銷商輔導發行公司或外國發行人以現金增資發行普通股申請初次上市</w:t>
            </w:r>
            <w:r w:rsidRPr="007F4514">
              <w:rPr>
                <w:rFonts w:ascii="Times New Roman" w:eastAsia="標楷體" w:hAnsi="Times New Roman" w:hint="eastAsia"/>
                <w:color w:val="000000" w:themeColor="text1"/>
                <w:sz w:val="28"/>
                <w:szCs w:val="24"/>
              </w:rPr>
              <w:t>(</w:t>
            </w:r>
            <w:r w:rsidRPr="007F4514">
              <w:rPr>
                <w:rFonts w:ascii="Times New Roman" w:eastAsia="標楷體" w:hAnsi="Times New Roman" w:hint="eastAsia"/>
                <w:color w:val="000000" w:themeColor="text1"/>
                <w:sz w:val="28"/>
                <w:szCs w:val="24"/>
              </w:rPr>
              <w:t>櫃</w:t>
            </w:r>
            <w:r w:rsidRPr="007F4514">
              <w:rPr>
                <w:rFonts w:ascii="Times New Roman" w:eastAsia="標楷體" w:hAnsi="Times New Roman" w:hint="eastAsia"/>
                <w:color w:val="000000" w:themeColor="text1"/>
                <w:sz w:val="28"/>
                <w:szCs w:val="24"/>
              </w:rPr>
              <w:t>)</w:t>
            </w:r>
            <w:r w:rsidRPr="007F4514">
              <w:rPr>
                <w:rFonts w:ascii="Times New Roman" w:eastAsia="標楷體" w:hAnsi="Times New Roman" w:hint="eastAsia"/>
                <w:color w:val="000000" w:themeColor="text1"/>
                <w:sz w:val="28"/>
                <w:szCs w:val="24"/>
              </w:rPr>
              <w:t>案件、股票申請創新板初次上市案件，除另有規定外，向金管會或其委託之機構申報案件時應以合理之方式訂定暫定價格，如有興櫃交易者，暫定價格不得低於向金管會或其委託之機構申報案件前興櫃有成交之十個營業日其成交均價簡單算術平均數之七成；如經股東會決議原股東全數放棄優先認股者，得採股數區間方式辦理申報，並敘明實際發行價格或股數如有變動，導致募集資金不足時之處理或募集資金增加時之資金用途及預計效益，承銷商並應就其適法性及合理性評估。</w:t>
            </w:r>
          </w:p>
          <w:p w14:paraId="67E6E274" w14:textId="77777777" w:rsidR="00B91765" w:rsidRDefault="00B91765" w:rsidP="00B91765">
            <w:pPr>
              <w:spacing w:after="0" w:line="480" w:lineRule="exact"/>
              <w:rPr>
                <w:rFonts w:ascii="Times New Roman" w:eastAsia="標楷體" w:hAnsi="Times New Roman"/>
                <w:color w:val="000000" w:themeColor="text1"/>
                <w:sz w:val="28"/>
                <w:szCs w:val="24"/>
              </w:rPr>
            </w:pPr>
          </w:p>
          <w:p w14:paraId="1F8A6485" w14:textId="77777777" w:rsidR="00B91765" w:rsidRPr="007F4514" w:rsidRDefault="00B91765" w:rsidP="00B91765">
            <w:pPr>
              <w:spacing w:after="0" w:line="480" w:lineRule="exact"/>
              <w:rPr>
                <w:rFonts w:ascii="Times New Roman" w:eastAsia="標楷體" w:hAnsi="Times New Roman"/>
                <w:color w:val="000000" w:themeColor="text1"/>
                <w:sz w:val="28"/>
                <w:szCs w:val="24"/>
              </w:rPr>
            </w:pPr>
            <w:r>
              <w:rPr>
                <w:rFonts w:ascii="Times New Roman" w:eastAsia="標楷體" w:hAnsi="Times New Roman" w:hint="eastAsia"/>
                <w:color w:val="000000" w:themeColor="text1"/>
                <w:sz w:val="28"/>
                <w:szCs w:val="24"/>
              </w:rPr>
              <w:t>以下略。</w:t>
            </w:r>
          </w:p>
        </w:tc>
        <w:tc>
          <w:tcPr>
            <w:tcW w:w="3354" w:type="dxa"/>
          </w:tcPr>
          <w:p w14:paraId="1B3EF6C5" w14:textId="62151BD4" w:rsidR="00B91765" w:rsidRPr="007F4514" w:rsidRDefault="009B49B5" w:rsidP="009B49B5">
            <w:pPr>
              <w:spacing w:after="0" w:line="480" w:lineRule="exact"/>
              <w:rPr>
                <w:rFonts w:ascii="Times New Roman" w:eastAsia="標楷體" w:hAnsi="Times New Roman"/>
                <w:color w:val="000000" w:themeColor="text1"/>
                <w:sz w:val="28"/>
                <w:szCs w:val="24"/>
              </w:rPr>
            </w:pPr>
            <w:r>
              <w:rPr>
                <w:rFonts w:ascii="Times New Roman" w:eastAsia="標楷體" w:hAnsi="Times New Roman" w:hint="eastAsia"/>
                <w:color w:val="000000" w:themeColor="text1"/>
                <w:sz w:val="28"/>
                <w:szCs w:val="24"/>
              </w:rPr>
              <w:t>依本公會「</w:t>
            </w:r>
            <w:r w:rsidRPr="009B49B5">
              <w:rPr>
                <w:rFonts w:ascii="Times New Roman" w:eastAsia="標楷體" w:hAnsi="Times New Roman" w:hint="eastAsia"/>
                <w:color w:val="000000" w:themeColor="text1"/>
                <w:sz w:val="28"/>
                <w:szCs w:val="24"/>
              </w:rPr>
              <w:t>證券商承銷或再行銷售有價證券處理辦法</w:t>
            </w:r>
            <w:r>
              <w:rPr>
                <w:rFonts w:ascii="Times New Roman" w:eastAsia="標楷體" w:hAnsi="Times New Roman" w:hint="eastAsia"/>
                <w:color w:val="000000" w:themeColor="text1"/>
                <w:sz w:val="28"/>
                <w:szCs w:val="24"/>
              </w:rPr>
              <w:t>」第</w:t>
            </w:r>
            <w:r w:rsidR="006B67E3">
              <w:rPr>
                <w:rFonts w:ascii="Times New Roman" w:eastAsia="標楷體" w:hAnsi="Times New Roman" w:hint="eastAsia"/>
                <w:color w:val="000000" w:themeColor="text1"/>
                <w:sz w:val="28"/>
                <w:szCs w:val="24"/>
              </w:rPr>
              <w:t>八</w:t>
            </w:r>
            <w:r>
              <w:rPr>
                <w:rFonts w:ascii="Times New Roman" w:eastAsia="標楷體" w:hAnsi="Times New Roman" w:hint="eastAsia"/>
                <w:color w:val="000000" w:themeColor="text1"/>
                <w:sz w:val="28"/>
                <w:szCs w:val="24"/>
              </w:rPr>
              <w:t>條及第</w:t>
            </w:r>
            <w:r w:rsidR="006B67E3">
              <w:rPr>
                <w:rFonts w:ascii="Times New Roman" w:eastAsia="標楷體" w:hAnsi="Times New Roman" w:hint="eastAsia"/>
                <w:color w:val="000000" w:themeColor="text1"/>
                <w:sz w:val="28"/>
                <w:szCs w:val="24"/>
              </w:rPr>
              <w:t>十七</w:t>
            </w:r>
            <w:r>
              <w:rPr>
                <w:rFonts w:ascii="Times New Roman" w:eastAsia="標楷體" w:hAnsi="Times New Roman" w:hint="eastAsia"/>
                <w:color w:val="000000" w:themeColor="text1"/>
                <w:sz w:val="28"/>
                <w:szCs w:val="24"/>
              </w:rPr>
              <w:t>條規定，</w:t>
            </w:r>
            <w:r w:rsidR="006B67E3">
              <w:rPr>
                <w:rFonts w:ascii="Times New Roman" w:eastAsia="標楷體" w:hAnsi="Times New Roman" w:hint="eastAsia"/>
                <w:color w:val="000000" w:themeColor="text1"/>
                <w:sz w:val="28"/>
                <w:szCs w:val="24"/>
              </w:rPr>
              <w:t>初次上市</w:t>
            </w:r>
            <w:r w:rsidR="006B67E3">
              <w:rPr>
                <w:rFonts w:ascii="Times New Roman" w:eastAsia="標楷體" w:hAnsi="Times New Roman" w:hint="eastAsia"/>
                <w:color w:val="000000" w:themeColor="text1"/>
                <w:sz w:val="28"/>
                <w:szCs w:val="24"/>
              </w:rPr>
              <w:t>(</w:t>
            </w:r>
            <w:r w:rsidR="006B67E3">
              <w:rPr>
                <w:rFonts w:ascii="Times New Roman" w:eastAsia="標楷體" w:hAnsi="Times New Roman" w:hint="eastAsia"/>
                <w:color w:val="000000" w:themeColor="text1"/>
                <w:sz w:val="28"/>
                <w:szCs w:val="24"/>
              </w:rPr>
              <w:t>櫃</w:t>
            </w:r>
            <w:r w:rsidR="006B67E3">
              <w:rPr>
                <w:rFonts w:ascii="Times New Roman" w:eastAsia="標楷體" w:hAnsi="Times New Roman" w:hint="eastAsia"/>
                <w:color w:val="000000" w:themeColor="text1"/>
                <w:sz w:val="28"/>
                <w:szCs w:val="24"/>
              </w:rPr>
              <w:t>)</w:t>
            </w:r>
            <w:r>
              <w:rPr>
                <w:rFonts w:ascii="Times New Roman" w:eastAsia="標楷體" w:hAnsi="Times New Roman" w:hint="eastAsia"/>
                <w:color w:val="000000" w:themeColor="text1"/>
                <w:sz w:val="28"/>
                <w:szCs w:val="24"/>
              </w:rPr>
              <w:t>案件採競價拍賣方式辦理者，最低承銷價格以興櫃基準價格之七成為上限，承銷價格則</w:t>
            </w:r>
            <w:r w:rsidRPr="009B49B5">
              <w:rPr>
                <w:rFonts w:ascii="Times New Roman" w:eastAsia="標楷體" w:hAnsi="Times New Roman" w:hint="eastAsia"/>
                <w:color w:val="000000" w:themeColor="text1"/>
                <w:sz w:val="28"/>
                <w:szCs w:val="24"/>
              </w:rPr>
              <w:t>以各得標單之價格及其數量加權平均所得之價格為之，並以最低承銷價格之一定倍數為上限</w:t>
            </w:r>
            <w:r w:rsidR="004F7315">
              <w:rPr>
                <w:rFonts w:ascii="Times New Roman" w:eastAsia="標楷體" w:hAnsi="Times New Roman" w:hint="eastAsia"/>
                <w:color w:val="000000" w:themeColor="text1"/>
                <w:sz w:val="28"/>
                <w:szCs w:val="24"/>
              </w:rPr>
              <w:t>，</w:t>
            </w:r>
            <w:r>
              <w:rPr>
                <w:rFonts w:ascii="Times New Roman" w:eastAsia="標楷體" w:hAnsi="Times New Roman" w:hint="eastAsia"/>
                <w:color w:val="000000" w:themeColor="text1"/>
                <w:sz w:val="28"/>
                <w:szCs w:val="24"/>
              </w:rPr>
              <w:t>若採詢價圈購方式辦理者，依第</w:t>
            </w:r>
            <w:r w:rsidR="006B67E3">
              <w:rPr>
                <w:rFonts w:ascii="Times New Roman" w:eastAsia="標楷體" w:hAnsi="Times New Roman" w:hint="eastAsia"/>
                <w:color w:val="000000" w:themeColor="text1"/>
                <w:sz w:val="28"/>
                <w:szCs w:val="24"/>
              </w:rPr>
              <w:t>三十</w:t>
            </w:r>
            <w:r>
              <w:rPr>
                <w:rFonts w:ascii="Times New Roman" w:eastAsia="標楷體" w:hAnsi="Times New Roman" w:hint="eastAsia"/>
                <w:color w:val="000000" w:themeColor="text1"/>
                <w:sz w:val="28"/>
                <w:szCs w:val="24"/>
              </w:rPr>
              <w:t>條規定，</w:t>
            </w:r>
            <w:r w:rsidRPr="009B49B5">
              <w:rPr>
                <w:rFonts w:ascii="Times New Roman" w:eastAsia="標楷體" w:hAnsi="Times New Roman" w:hint="eastAsia"/>
                <w:color w:val="000000" w:themeColor="text1"/>
                <w:sz w:val="28"/>
                <w:szCs w:val="24"/>
              </w:rPr>
              <w:t>承銷價格不得低於</w:t>
            </w:r>
            <w:r>
              <w:rPr>
                <w:rFonts w:ascii="Times New Roman" w:eastAsia="標楷體" w:hAnsi="Times New Roman" w:hint="eastAsia"/>
                <w:color w:val="000000" w:themeColor="text1"/>
                <w:sz w:val="28"/>
                <w:szCs w:val="24"/>
              </w:rPr>
              <w:t>興櫃基準價格之七成。為避免</w:t>
            </w:r>
            <w:r w:rsidR="006B67E3">
              <w:rPr>
                <w:rFonts w:ascii="Times New Roman" w:eastAsia="標楷體" w:hAnsi="Times New Roman" w:hint="eastAsia"/>
                <w:color w:val="000000" w:themeColor="text1"/>
                <w:sz w:val="28"/>
                <w:szCs w:val="24"/>
              </w:rPr>
              <w:t>初次上市</w:t>
            </w:r>
            <w:r w:rsidR="006B67E3">
              <w:rPr>
                <w:rFonts w:ascii="Times New Roman" w:eastAsia="標楷體" w:hAnsi="Times New Roman" w:hint="eastAsia"/>
                <w:color w:val="000000" w:themeColor="text1"/>
                <w:sz w:val="28"/>
                <w:szCs w:val="24"/>
              </w:rPr>
              <w:t>(</w:t>
            </w:r>
            <w:r w:rsidR="006B67E3">
              <w:rPr>
                <w:rFonts w:ascii="Times New Roman" w:eastAsia="標楷體" w:hAnsi="Times New Roman" w:hint="eastAsia"/>
                <w:color w:val="000000" w:themeColor="text1"/>
                <w:sz w:val="28"/>
                <w:szCs w:val="24"/>
              </w:rPr>
              <w:t>櫃</w:t>
            </w:r>
            <w:r w:rsidR="006B67E3">
              <w:rPr>
                <w:rFonts w:ascii="Times New Roman" w:eastAsia="標楷體" w:hAnsi="Times New Roman" w:hint="eastAsia"/>
                <w:color w:val="000000" w:themeColor="text1"/>
                <w:sz w:val="28"/>
                <w:szCs w:val="24"/>
              </w:rPr>
              <w:t>)</w:t>
            </w:r>
            <w:r>
              <w:rPr>
                <w:rFonts w:ascii="Times New Roman" w:eastAsia="標楷體" w:hAnsi="Times New Roman" w:hint="eastAsia"/>
                <w:color w:val="000000" w:themeColor="text1"/>
                <w:sz w:val="28"/>
                <w:szCs w:val="24"/>
              </w:rPr>
              <w:t>案件申報現金增資之暫定承銷價格與承銷時之承銷價格規範有所</w:t>
            </w:r>
            <w:r w:rsidRPr="009B49B5">
              <w:rPr>
                <w:rFonts w:ascii="Times New Roman" w:eastAsia="標楷體" w:hAnsi="Times New Roman" w:hint="eastAsia"/>
                <w:color w:val="000000" w:themeColor="text1"/>
                <w:sz w:val="28"/>
                <w:szCs w:val="24"/>
              </w:rPr>
              <w:t>扞格</w:t>
            </w:r>
            <w:r>
              <w:rPr>
                <w:rFonts w:ascii="Times New Roman" w:eastAsia="標楷體" w:hAnsi="Times New Roman" w:hint="eastAsia"/>
                <w:color w:val="000000" w:themeColor="text1"/>
                <w:sz w:val="28"/>
                <w:szCs w:val="24"/>
              </w:rPr>
              <w:t>，爰修正第一項</w:t>
            </w:r>
            <w:r w:rsidR="00B91765">
              <w:rPr>
                <w:rFonts w:ascii="Times New Roman" w:eastAsia="標楷體" w:hAnsi="Times New Roman" w:hint="eastAsia"/>
                <w:color w:val="000000" w:themeColor="text1"/>
                <w:sz w:val="28"/>
                <w:szCs w:val="24"/>
              </w:rPr>
              <w:t>，明定初次上市</w:t>
            </w:r>
            <w:r w:rsidR="00B91765">
              <w:rPr>
                <w:rFonts w:ascii="Times New Roman" w:eastAsia="標楷體" w:hAnsi="Times New Roman" w:hint="eastAsia"/>
                <w:color w:val="000000" w:themeColor="text1"/>
                <w:sz w:val="28"/>
                <w:szCs w:val="24"/>
              </w:rPr>
              <w:t>(</w:t>
            </w:r>
            <w:r w:rsidR="00B91765">
              <w:rPr>
                <w:rFonts w:ascii="Times New Roman" w:eastAsia="標楷體" w:hAnsi="Times New Roman" w:hint="eastAsia"/>
                <w:color w:val="000000" w:themeColor="text1"/>
                <w:sz w:val="28"/>
                <w:szCs w:val="24"/>
              </w:rPr>
              <w:t>櫃</w:t>
            </w:r>
            <w:r w:rsidR="00B91765">
              <w:rPr>
                <w:rFonts w:ascii="Times New Roman" w:eastAsia="標楷體" w:hAnsi="Times New Roman" w:hint="eastAsia"/>
                <w:color w:val="000000" w:themeColor="text1"/>
                <w:sz w:val="28"/>
                <w:szCs w:val="24"/>
              </w:rPr>
              <w:t>)</w:t>
            </w:r>
            <w:r w:rsidR="00B91765">
              <w:rPr>
                <w:rFonts w:ascii="Times New Roman" w:eastAsia="標楷體" w:hAnsi="Times New Roman" w:hint="eastAsia"/>
                <w:color w:val="000000" w:themeColor="text1"/>
                <w:sz w:val="28"/>
                <w:szCs w:val="24"/>
              </w:rPr>
              <w:t>案件向</w:t>
            </w:r>
            <w:r w:rsidR="004A3FAE" w:rsidRPr="007F4514">
              <w:rPr>
                <w:rFonts w:ascii="Times New Roman" w:eastAsia="標楷體" w:hAnsi="Times New Roman" w:hint="eastAsia"/>
                <w:color w:val="000000" w:themeColor="text1"/>
                <w:sz w:val="28"/>
                <w:szCs w:val="24"/>
              </w:rPr>
              <w:t>金管會</w:t>
            </w:r>
            <w:r w:rsidR="00B91765">
              <w:rPr>
                <w:rFonts w:ascii="Times New Roman" w:eastAsia="標楷體" w:hAnsi="Times New Roman" w:hint="eastAsia"/>
                <w:color w:val="000000" w:themeColor="text1"/>
                <w:sz w:val="28"/>
                <w:szCs w:val="24"/>
              </w:rPr>
              <w:t>或其委託機構申報現金增資暫定承銷價格不得低於興櫃基準價格七成之限制，</w:t>
            </w:r>
            <w:r w:rsidR="004A3FAE">
              <w:rPr>
                <w:rFonts w:ascii="Times New Roman" w:eastAsia="標楷體" w:hAnsi="Times New Roman" w:hint="eastAsia"/>
                <w:color w:val="000000" w:themeColor="text1"/>
                <w:sz w:val="28"/>
                <w:szCs w:val="24"/>
              </w:rPr>
              <w:t>適用於以</w:t>
            </w:r>
            <w:r w:rsidR="00B91765">
              <w:rPr>
                <w:rFonts w:ascii="Times New Roman" w:eastAsia="標楷體" w:hAnsi="Times New Roman" w:hint="eastAsia"/>
                <w:color w:val="000000" w:themeColor="text1"/>
                <w:sz w:val="28"/>
                <w:szCs w:val="24"/>
              </w:rPr>
              <w:t>採詢價圈購方式辦理者。</w:t>
            </w:r>
          </w:p>
        </w:tc>
      </w:tr>
    </w:tbl>
    <w:p w14:paraId="0E396BEC" w14:textId="77777777" w:rsidR="00F562AE" w:rsidRPr="00B91765" w:rsidRDefault="00F562AE" w:rsidP="00B91765"/>
    <w:sectPr w:rsidR="00F562AE" w:rsidRPr="00B91765" w:rsidSect="00B9176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BA543" w14:textId="77777777" w:rsidR="004E088C" w:rsidRDefault="004E088C" w:rsidP="003D2A29">
      <w:pPr>
        <w:spacing w:after="0" w:line="240" w:lineRule="auto"/>
      </w:pPr>
      <w:r>
        <w:separator/>
      </w:r>
    </w:p>
  </w:endnote>
  <w:endnote w:type="continuationSeparator" w:id="0">
    <w:p w14:paraId="45DE4301" w14:textId="77777777" w:rsidR="004E088C" w:rsidRDefault="004E088C" w:rsidP="003D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5F420" w14:textId="77777777" w:rsidR="004E088C" w:rsidRDefault="004E088C" w:rsidP="003D2A29">
      <w:pPr>
        <w:spacing w:after="0" w:line="240" w:lineRule="auto"/>
      </w:pPr>
      <w:r>
        <w:separator/>
      </w:r>
    </w:p>
  </w:footnote>
  <w:footnote w:type="continuationSeparator" w:id="0">
    <w:p w14:paraId="19793D70" w14:textId="77777777" w:rsidR="004E088C" w:rsidRDefault="004E088C" w:rsidP="003D2A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765"/>
    <w:rsid w:val="000517AF"/>
    <w:rsid w:val="001915CF"/>
    <w:rsid w:val="00280755"/>
    <w:rsid w:val="003D2A29"/>
    <w:rsid w:val="004560A3"/>
    <w:rsid w:val="004A3FAE"/>
    <w:rsid w:val="004B3A75"/>
    <w:rsid w:val="004E088C"/>
    <w:rsid w:val="004F7315"/>
    <w:rsid w:val="006B67E3"/>
    <w:rsid w:val="00890962"/>
    <w:rsid w:val="009570DE"/>
    <w:rsid w:val="009B49B5"/>
    <w:rsid w:val="00A0654F"/>
    <w:rsid w:val="00A5141D"/>
    <w:rsid w:val="00B72972"/>
    <w:rsid w:val="00B91765"/>
    <w:rsid w:val="00CE6EA2"/>
    <w:rsid w:val="00F562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45673"/>
  <w15:chartTrackingRefBased/>
  <w15:docId w15:val="{276984F7-273A-4314-AFF2-98539369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765"/>
    <w:pPr>
      <w:widowControl w:val="0"/>
      <w:spacing w:after="200" w:line="276" w:lineRule="auto"/>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1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D2A29"/>
    <w:pPr>
      <w:tabs>
        <w:tab w:val="center" w:pos="4153"/>
        <w:tab w:val="right" w:pos="8306"/>
      </w:tabs>
      <w:snapToGrid w:val="0"/>
    </w:pPr>
    <w:rPr>
      <w:sz w:val="20"/>
      <w:szCs w:val="20"/>
    </w:rPr>
  </w:style>
  <w:style w:type="character" w:customStyle="1" w:styleId="a5">
    <w:name w:val="頁首 字元"/>
    <w:basedOn w:val="a0"/>
    <w:link w:val="a4"/>
    <w:uiPriority w:val="99"/>
    <w:rsid w:val="003D2A29"/>
    <w:rPr>
      <w:rFonts w:ascii="Calibri" w:eastAsia="新細明體" w:hAnsi="Calibri" w:cs="Times New Roman"/>
      <w:sz w:val="20"/>
      <w:szCs w:val="20"/>
    </w:rPr>
  </w:style>
  <w:style w:type="paragraph" w:styleId="a6">
    <w:name w:val="footer"/>
    <w:basedOn w:val="a"/>
    <w:link w:val="a7"/>
    <w:uiPriority w:val="99"/>
    <w:unhideWhenUsed/>
    <w:rsid w:val="003D2A29"/>
    <w:pPr>
      <w:tabs>
        <w:tab w:val="center" w:pos="4153"/>
        <w:tab w:val="right" w:pos="8306"/>
      </w:tabs>
      <w:snapToGrid w:val="0"/>
    </w:pPr>
    <w:rPr>
      <w:sz w:val="20"/>
      <w:szCs w:val="20"/>
    </w:rPr>
  </w:style>
  <w:style w:type="character" w:customStyle="1" w:styleId="a7">
    <w:name w:val="頁尾 字元"/>
    <w:basedOn w:val="a0"/>
    <w:link w:val="a6"/>
    <w:uiPriority w:val="99"/>
    <w:rsid w:val="003D2A29"/>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鍾韻琳</dc:creator>
  <cp:keywords/>
  <dc:description/>
  <cp:lastModifiedBy>鍾韻琳</cp:lastModifiedBy>
  <cp:revision>5</cp:revision>
  <dcterms:created xsi:type="dcterms:W3CDTF">2026-09-11T06:28:00Z</dcterms:created>
  <dcterms:modified xsi:type="dcterms:W3CDTF">2026-09-14T06:42:00Z</dcterms:modified>
</cp:coreProperties>
</file>